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E1DAD2">
    <v:background id="_x0000_s1025">
      <v:fill type="tile" on="t" color2="#FFFFFF" o:title="kingsoft" focussize="0,0" recolor="t" r:id="rId8"/>
    </v:background>
  </w:background>
  <w:body>
    <w:p>
      <w:pPr>
        <w:keepNext w:val="0"/>
        <w:keepLines w:val="0"/>
        <w:pageBreakBefore w:val="0"/>
        <w:widowControl w:val="0"/>
        <w:kinsoku/>
        <w:wordWrap/>
        <w:overflowPunct/>
        <w:topLinePunct w:val="0"/>
        <w:autoSpaceDE/>
        <w:autoSpaceDN/>
        <w:bidi w:val="0"/>
        <w:adjustRightInd/>
        <w:snapToGrid/>
        <w:spacing w:before="240" w:after="360" w:line="240" w:lineRule="auto"/>
        <w:jc w:val="both"/>
        <w:textAlignment w:val="auto"/>
        <w:outlineLvl w:val="0"/>
        <w:rPr>
          <w:rFonts w:hint="eastAsia" w:ascii="微软雅黑" w:hAnsi="微软雅黑" w:eastAsia="微软雅黑" w:cs="微软雅黑"/>
          <w:b/>
          <w:bCs/>
          <w:color w:val="FF0000"/>
          <w:spacing w:val="170"/>
          <w:sz w:val="48"/>
          <w:szCs w:val="48"/>
          <w:shd w:val="clear" w:color="auto" w:fill="auto"/>
          <w14:reflection w14:blurRad="6350" w14:stA="55000" w14:stPos="0" w14:endA="50" w14:endPos="85000" w14:dist="29997" w14:dir="5400000" w14:fadeDir="5400000" w14:sx="100000" w14:sy="-100000" w14:kx="0" w14:algn="bl"/>
        </w:rPr>
      </w:pPr>
      <w:r>
        <w:rPr>
          <w:rFonts w:hint="eastAsia" w:ascii="微软雅黑" w:hAnsi="微软雅黑" w:eastAsia="微软雅黑" w:cs="微软雅黑"/>
          <w:b/>
          <w:bCs/>
          <w:color w:val="FF0000"/>
          <w:spacing w:val="170"/>
          <w:sz w:val="48"/>
          <w:szCs w:val="48"/>
          <w:shd w:val="clear" w:color="auto" w:fill="auto"/>
          <w14:reflection w14:blurRad="6350" w14:stA="55000" w14:stPos="0" w14:endA="50" w14:endPos="85000" w14:dist="29997" w14:dir="5400000" w14:fadeDir="5400000" w14:sx="100000" w14:sy="-100000" w14:kx="0" w14:algn="bl"/>
        </w:rPr>
        <w:t>时光深处的佛光与沙鸣</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bookmarkStart w:id="0" w:name="_GoBack"/>
      <w:r>
        <w:rPr>
          <w:rFonts w:hint="eastAsia" w:ascii="黑体" w:hAnsi="黑体" w:eastAsia="仿宋" w:cs="仿宋"/>
          <w:b/>
          <w:bCs/>
          <w:sz w:val="32"/>
          <w:szCs w:val="32"/>
        </w:rPr>
        <w:t>看</w:t>
      </w:r>
      <w:r>
        <w:rPr>
          <w:rFonts w:hint="eastAsia" w:ascii="黑体" w:hAnsi="黑体" w:eastAsia="仿宋" w:cs="仿宋"/>
          <w:b/>
          <w:bCs/>
          <w:color w:val="00B0F0"/>
          <w:sz w:val="32"/>
          <w:szCs w:val="32"/>
          <w:lang w:eastAsia="zh-CN"/>
        </w:rPr>
        <w:drawing>
          <wp:anchor distT="0" distB="0" distL="114300" distR="114300" simplePos="0" relativeHeight="251658240" behindDoc="0" locked="0" layoutInCell="1" allowOverlap="1">
            <wp:simplePos x="0" y="0"/>
            <wp:positionH relativeFrom="column">
              <wp:posOffset>5918200</wp:posOffset>
            </wp:positionH>
            <wp:positionV relativeFrom="page">
              <wp:posOffset>5198110</wp:posOffset>
            </wp:positionV>
            <wp:extent cx="2545715" cy="3599815"/>
            <wp:effectExtent l="189230" t="123825" r="198755" b="200660"/>
            <wp:wrapSquare wrapText="bothSides"/>
            <wp:docPr id="1" name="图片 1" descr="素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素材"/>
                    <pic:cNvPicPr>
                      <a:picLocks noChangeAspect="1"/>
                    </pic:cNvPicPr>
                  </pic:nvPicPr>
                  <pic:blipFill>
                    <a:blip r:embed="rId9"/>
                    <a:stretch>
                      <a:fillRect/>
                    </a:stretch>
                  </pic:blipFill>
                  <pic:spPr>
                    <a:xfrm>
                      <a:off x="0" y="0"/>
                      <a:ext cx="2545715" cy="3599815"/>
                    </a:xfrm>
                    <a:prstGeom prst="rect">
                      <a:avLst/>
                    </a:prstGeom>
                    <a:ln w="63500">
                      <a:solidFill>
                        <a:srgbClr val="FFC000"/>
                      </a:solidFill>
                      <a:prstDash val="sysDash"/>
                    </a:ln>
                    <a:effectLst>
                      <a:glow rad="63500">
                        <a:schemeClr val="accent6">
                          <a:satMod val="175000"/>
                          <a:alpha val="40000"/>
                        </a:schemeClr>
                      </a:glow>
                      <a:outerShdw blurRad="63500" sx="102000" sy="102000" algn="ctr" rotWithShape="0">
                        <a:prstClr val="black">
                          <a:alpha val="40000"/>
                        </a:prstClr>
                      </a:outerShdw>
                    </a:effectLst>
                  </pic:spPr>
                </pic:pic>
              </a:graphicData>
            </a:graphic>
          </wp:anchor>
        </w:drawing>
      </w:r>
      <w:r>
        <w:rPr>
          <w:rFonts w:hint="eastAsia" w:ascii="黑体" w:hAnsi="黑体" w:eastAsia="仿宋" w:cs="仿宋"/>
          <w:b/>
          <w:bCs/>
          <w:color w:val="00B0F0"/>
          <w:sz w:val="32"/>
          <w:szCs w:val="32"/>
          <w:lang w:eastAsia="zh-CN"/>
        </w:rPr>
        <w:t>莫高窟</w:t>
      </w:r>
      <w:r>
        <w:rPr>
          <w:rStyle w:val="7"/>
          <w:rFonts w:hint="eastAsia" w:ascii="黑体" w:hAnsi="黑体" w:eastAsia="仿宋" w:cs="仿宋"/>
          <w:b/>
          <w:bCs/>
          <w:color w:val="00B0F0"/>
          <w:sz w:val="32"/>
          <w:szCs w:val="32"/>
          <w:lang w:eastAsia="zh-CN"/>
        </w:rPr>
        <w:footnoteReference w:id="0"/>
      </w:r>
      <w:r>
        <w:rPr>
          <w:rFonts w:hint="eastAsia" w:ascii="黑体" w:hAnsi="黑体" w:eastAsia="仿宋" w:cs="仿宋"/>
          <w:b/>
          <w:bCs/>
          <w:sz w:val="32"/>
          <w:szCs w:val="32"/>
        </w:rPr>
        <w:t>，不是看死了一千年的标本，而是看活了一千年的生命。</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让人惊奇的是，历来在</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周边此起彼伏的各种政治势力，互相之间你死我活，却都愿意为</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做一点好事。</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北魏的王室、北周的贵族都对</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的建造起了很大的积极作用。更不必说隋代、初唐、盛唐时，敦煌一带的官府和民众，一起把明丽的时尚融入</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的欢快景象了。连安史之乱以后占领敦煌的吐蕃势力，以及驱逐吐蕃势力的张议潮军队，本是势不两立的敌人，却也都参与修护</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。五代十国时期的曹氏政权对</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贡献很大，到宋代，先后占领这一带的西夏政权和蒙古政权，也没有对</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造成破坏，这实在是奇迹了。</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到元代开始衰落，主要是由于蒙古军队打通了欧亚商贸路线，丝绸之路的作用减弱，敦煌变得冷清了。</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b/>
          <w:bCs/>
          <w:sz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380365</wp:posOffset>
                </wp:positionV>
                <wp:extent cx="1058545" cy="3378200"/>
                <wp:effectExtent l="0" t="0" r="0" b="0"/>
                <wp:wrapSquare wrapText="bothSides"/>
                <wp:docPr id="2" name="文本框 2"/>
                <wp:cNvGraphicFramePr/>
                <a:graphic xmlns:a="http://schemas.openxmlformats.org/drawingml/2006/main">
                  <a:graphicData uri="http://schemas.microsoft.com/office/word/2010/wordprocessingShape">
                    <wps:wsp>
                      <wps:cNvSpPr txBox="1"/>
                      <wps:spPr>
                        <a:xfrm>
                          <a:off x="0" y="0"/>
                          <a:ext cx="1058545" cy="3378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color w:val="F8CDAC" w:themeColor="accent2" w:themeTint="66"/>
                                <w:sz w:val="72"/>
                                <w:szCs w:val="72"/>
                                <w:lang w:val="en-US" w:eastAsia="zh-CN"/>
                                <w14:textOutline w14:w="22225">
                                  <w14:solidFill>
                                    <w14:schemeClr w14:val="accent2"/>
                                  </w14:solidFill>
                                  <w14:prstDash w14:val="solid"/>
                                  <w14:round/>
                                </w14:textOutline>
                                <w14:textFill>
                                  <w14:solidFill>
                                    <w14:schemeClr w14:val="accent2">
                                      <w14:lumMod w14:val="40000"/>
                                      <w14:lumOff w14:val="60000"/>
                                    </w14:schemeClr>
                                  </w14:solidFill>
                                </w14:textFill>
                              </w:rPr>
                            </w:pPr>
                            <w:r>
                              <w:rPr>
                                <w:rFonts w:hint="eastAsia"/>
                                <w:b/>
                                <w:bCs/>
                                <w:color w:val="F8CDAC" w:themeColor="accent2" w:themeTint="66"/>
                                <w:sz w:val="72"/>
                                <w:szCs w:val="72"/>
                                <w:lang w:val="en-US" w:eastAsia="zh-CN"/>
                                <w14:textOutline w14:w="22225">
                                  <w14:solidFill>
                                    <w14:schemeClr w14:val="accent2"/>
                                  </w14:solidFill>
                                  <w14:prstDash w14:val="solid"/>
                                  <w14:round/>
                                </w14:textOutline>
                                <w14:textFill>
                                  <w14:solidFill>
                                    <w14:schemeClr w14:val="accent2">
                                      <w14:lumMod w14:val="40000"/>
                                      <w14:lumOff w14:val="60000"/>
                                    </w14:schemeClr>
                                  </w14:solidFill>
                                </w14:textFill>
                              </w:rPr>
                              <w:t>祖国西北—明珠</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29.95pt;height:266pt;width:83.35pt;mso-wrap-distance-bottom:0pt;mso-wrap-distance-left:9pt;mso-wrap-distance-right:9pt;mso-wrap-distance-top:0pt;z-index:251659264;mso-width-relative:page;mso-height-relative:page;" filled="f" stroked="f" coordsize="21600,21600" o:gfxdata="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Ne2/1&#10;1gAAAAcBAAAPAAAAAAAAAAEAIAAAACIAAABkcnMvZG93bnJldi54bWxQSwECFAAUAAAACACHTuJA&#10;aF+UayMCAAAbBAAADgAAAAAAAAABACAAAAAlAQAAZHJzL2Uyb0RvYy54bWxQSwUGAAAAAAYABgBZ&#10;AQAAugUAAAAA&#10;">
                <v:fill on="f" focussize="0,0"/>
                <v:stroke on="f" weight="0.5pt"/>
                <v:imagedata o:title=""/>
                <o:lock v:ext="edit" aspectratio="f"/>
                <v:textbox style="layout-flow:vertical-ideographic;">
                  <w:txbxContent>
                    <w:p>
                      <w:pPr>
                        <w:rPr>
                          <w:rFonts w:hint="default" w:eastAsia="宋体"/>
                          <w:b/>
                          <w:bCs/>
                          <w:color w:val="F8CDAC" w:themeColor="accent2" w:themeTint="66"/>
                          <w:sz w:val="72"/>
                          <w:szCs w:val="72"/>
                          <w:lang w:val="en-US" w:eastAsia="zh-CN"/>
                          <w14:textOutline w14:w="22225">
                            <w14:solidFill>
                              <w14:schemeClr w14:val="accent2"/>
                            </w14:solidFill>
                            <w14:prstDash w14:val="solid"/>
                            <w14:round/>
                          </w14:textOutline>
                          <w14:textFill>
                            <w14:solidFill>
                              <w14:schemeClr w14:val="accent2">
                                <w14:lumMod w14:val="40000"/>
                                <w14:lumOff w14:val="60000"/>
                              </w14:schemeClr>
                            </w14:solidFill>
                          </w14:textFill>
                        </w:rPr>
                      </w:pPr>
                      <w:r>
                        <w:rPr>
                          <w:rFonts w:hint="eastAsia"/>
                          <w:b/>
                          <w:bCs/>
                          <w:color w:val="F8CDAC" w:themeColor="accent2" w:themeTint="66"/>
                          <w:sz w:val="72"/>
                          <w:szCs w:val="72"/>
                          <w:lang w:val="en-US" w:eastAsia="zh-CN"/>
                          <w14:textOutline w14:w="22225">
                            <w14:solidFill>
                              <w14:schemeClr w14:val="accent2"/>
                            </w14:solidFill>
                            <w14:prstDash w14:val="solid"/>
                            <w14:round/>
                          </w14:textOutline>
                          <w14:textFill>
                            <w14:solidFill>
                              <w14:schemeClr w14:val="accent2">
                                <w14:lumMod w14:val="40000"/>
                                <w14:lumOff w14:val="60000"/>
                              </w14:schemeClr>
                            </w14:solidFill>
                          </w14:textFill>
                        </w:rPr>
                        <w:t>祖国西北—明珠</w:t>
                      </w:r>
                    </w:p>
                  </w:txbxContent>
                </v:textbox>
                <w10:wrap type="square"/>
              </v:shape>
            </w:pict>
          </mc:Fallback>
        </mc:AlternateContent>
      </w:r>
      <w:r>
        <w:rPr>
          <w:rFonts w:hint="eastAsia" w:ascii="黑体" w:hAnsi="黑体" w:eastAsia="仿宋" w:cs="仿宋"/>
          <w:b/>
          <w:bCs/>
          <w:sz w:val="32"/>
          <w:szCs w:val="32"/>
        </w:rPr>
        <w:t>为什么那么多赳赳武将、权谋强人都会在</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面前低下头来？我想，第一是因为这里有关人间信仰，第二是因为这里已经构成历史。宗教的力量和时间的力量都是极其强大的，强大在默默无声中，足以让这些燥热的心灵冷却下来，产生几分敬畏。他们突然变得像个孩子，一路撒野下来，到这里却睁大了眼睛，希望获得宗教裁判和时间裁判。</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出于这种关系，</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一直在不断地建造、修补、延伸，真正构成了一个有呼吸、有代谢、有年岁、有传承的生命群。</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在这个过程中，更值得关注的是全民参与。佛教在</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里摆脱了高深的奥义，变得通俗和简约，着重展现因果报应、求福消灾、丰衣足食、繁衍子孙等内容，与民众非常亲近。除了壁画和雕塑外，</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还是敦煌地区民众举行巡礼斋会的活动场所、学习佛教仪式的教育场所，也是享受日常娱乐的游览场所。但是，这种大众化趋向并没有使它下降为一个类似于乡村庙会求神驱鬼式的纯庶民形态，因为敦煌地区一直拥有不少高僧大德、世族名士、博学贤达，维系着</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的信仰主体。他们是全体民众的引领者、文明等级的守护者。</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于是，在</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我常常走神。不明亮的自然光亮从洞窟上方的天窗中淡淡映入，壁画上的人群和壁画前的雕塑融成了一体，在一片朦胧中似乎都动了起来。他们身后，是当年来这里参加巡礼的民众，一群又一群地簇拥着身穿袈裟的僧侣。定睛一看，还有很多画工、雕塑家在周边忙碌，他们是在修改原作，还是在重新创造？看不清楚。这么多人走了，又来了一批。一批就是一代，一代代接连不断。</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也有了声音：佛号、磬钹、诵经声、木鱼声、旌旗飘荡声、人们的笑语声，还有石窟外的山风声、流水声、马蹄声、驼铃声。</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看了一会儿，听了一会儿，我发觉自己也被裹卷进去了。身不由己，踉踉跄跄，被人潮所挟，被声浪所融，被一种千年不灭的信仰所化。自己已经碎成轻尘，甚至连轻尘也没有了。</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这样的观看是一种晕眩，既十分陶醉又十分糊涂。因此，我不能不在闭馆之后的黄昏，在人群全都离去的山脚下独自徘徊，一点点地找回记忆、找回自己。</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rPr>
      </w:pPr>
      <w:r>
        <w:rPr>
          <w:rFonts w:hint="eastAsia" w:ascii="黑体" w:hAnsi="黑体" w:eastAsia="仿宋" w:cs="仿宋"/>
          <w:b/>
          <w:bCs/>
          <w:sz w:val="32"/>
          <w:szCs w:val="32"/>
        </w:rPr>
        <w:t>晚风起了，夹着细沙，吹得脸颊发疼。沙漠的月亮分外清冷。山脚前有一泓泉流，在月色下波光闪烁。</w:t>
      </w:r>
    </w:p>
    <w:bookmarkEnd w:id="0"/>
    <w:sectPr>
      <w:headerReference r:id="rId5" w:type="default"/>
      <w:footerReference r:id="rId6" w:type="default"/>
      <w:pgSz w:w="16783" w:h="23757"/>
      <w:pgMar w:top="1701" w:right="1701" w:bottom="2268" w:left="1701" w:header="851" w:footer="992" w:gutter="0"/>
      <w:pgNumType w:fmt="chineseCounting"/>
      <w:cols w:space="0" w:num="1"/>
      <w:rtlGutter w:val="0"/>
      <w:docGrid w:type="linesAndChars" w:linePitch="291" w:charSpace="424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footnote>
  <w:footnote w:type="continuationSeparator" w:id="3">
    <w:p>
      <w:r>
        <w:continuationSeparator/>
      </w:r>
    </w:p>
  </w:footnote>
  <w:footnote w:id="0">
    <w:p>
      <w:pPr>
        <w:pStyle w:val="4"/>
        <w:snapToGrid w:val="0"/>
        <w:rPr>
          <w:rFonts w:hint="default" w:eastAsia="宋体"/>
          <w:lang w:val="en-US" w:eastAsia="zh-CN"/>
        </w:rPr>
      </w:pPr>
      <w:r>
        <w:rPr>
          <w:rStyle w:val="7"/>
        </w:rPr>
        <w:footnoteRef/>
      </w:r>
      <w:r>
        <w:rPr>
          <w:rFonts w:hint="eastAsia"/>
          <w:lang w:val="en-US" w:eastAsia="zh-CN"/>
        </w:rPr>
        <w:t>俗称“千佛洞”</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hint="default" w:eastAsia="宋体"/>
        <w:color w:val="FF0000"/>
        <w:lang w:val="en-US" w:eastAsia="zh-CN"/>
      </w:rPr>
    </w:pPr>
    <w:r>
      <w:rPr>
        <w:rFonts w:hint="eastAsia"/>
        <w:color w:val="FF0000"/>
        <w:lang w:val="en-US" w:eastAsia="zh-CN"/>
      </w:rPr>
      <w:t>敦煌瑰宝，千年传承</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0"/>
  <w:bordersDoNotSurroundFooter w:val="0"/>
  <w:documentProtection w:enforcement="0"/>
  <w:defaultTabStop w:val="420"/>
  <w:drawingGridHorizontalSpacing w:val="115"/>
  <w:drawingGridVerticalSpacing w:val="146"/>
  <w:displayHorizontalDrawingGridEvery w:val="2"/>
  <w:displayVerticalDrawingGridEvery w:val="2"/>
  <w:noPunctuationKerning w:val="1"/>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3MTZlNzg4NGU0NTE5MjdjM2FjMTc0NmQ4ZGYyMmMifQ=="/>
  </w:docVars>
  <w:rsids>
    <w:rsidRoot w:val="2FBE5139"/>
    <w:rsid w:val="00FF56BA"/>
    <w:rsid w:val="03BA661E"/>
    <w:rsid w:val="07D7239C"/>
    <w:rsid w:val="1B7E657C"/>
    <w:rsid w:val="1D6B3897"/>
    <w:rsid w:val="2170362F"/>
    <w:rsid w:val="2F2A0E7F"/>
    <w:rsid w:val="2FBE5139"/>
    <w:rsid w:val="330E1621"/>
    <w:rsid w:val="45154231"/>
    <w:rsid w:val="4C2674E0"/>
    <w:rsid w:val="61440E5B"/>
    <w:rsid w:val="64DF71B1"/>
    <w:rsid w:val="68000FA0"/>
    <w:rsid w:val="69855479"/>
    <w:rsid w:val="73885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footnote text"/>
    <w:basedOn w:val="1"/>
    <w:uiPriority w:val="0"/>
    <w:pPr>
      <w:snapToGrid w:val="0"/>
      <w:jc w:val="left"/>
    </w:pPr>
    <w:rPr>
      <w:sz w:val="18"/>
    </w:rPr>
  </w:style>
  <w:style w:type="character" w:styleId="7">
    <w:name w:val="footnote reference"/>
    <w:basedOn w:val="6"/>
    <w:uiPriority w:val="0"/>
    <w:rPr>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1187</Words>
  <Characters>1187</Characters>
  <Lines>0</Lines>
  <Paragraphs>0</Paragraphs>
  <TotalTime>88</TotalTime>
  <ScaleCrop>false</ScaleCrop>
  <LinksUpToDate>false</LinksUpToDate>
  <CharactersWithSpaces>1187</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2025-10-27T07:54:00Z</dcterms:created>
  <dc:creator>MAO</dc:creator>
  <cp:lastModifiedBy>xszj</cp:lastModifiedBy>
  <dcterms:modified xsi:type="dcterms:W3CDTF">2026-03-18T11:38:25Z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87EF1DFEA01E404DA866912D99FB5707_11</vt:lpwstr>
  </property>
  <property fmtid="{D5CDD505-2E9C-101B-9397-08002B2CF9AE}" pid="4" name="KSOTemplateDocerSaveRecord">
    <vt:lpwstr>eyJoZGlkIjoiNzQwM2JlZjhkOGIxYWYxYzhkYTNhNzkyZWY2YzA1OTEiLCJ1c2VySWQiOiIyNDk4NzIzMDAifQ==</vt:lpwstr>
  </property>
</Properties>
</file>